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C8" w:rsidRDefault="007825C8" w:rsidP="007825C8">
      <w:pPr>
        <w:widowControl w:val="0"/>
        <w:autoSpaceDE w:val="0"/>
        <w:autoSpaceDN w:val="0"/>
        <w:adjustRightInd w:val="0"/>
        <w:spacing w:after="0" w:line="360" w:lineRule="auto"/>
        <w:ind w:left="142"/>
        <w:jc w:val="center"/>
        <w:rPr>
          <w:rFonts w:ascii="Times New Roman" w:hAnsi="Times New Roman" w:cs="Times New Roman"/>
          <w:b/>
          <w:sz w:val="28"/>
          <w:szCs w:val="28"/>
        </w:rPr>
      </w:pPr>
      <w:bookmarkStart w:id="0" w:name="_GoBack"/>
      <w:r w:rsidRPr="00EA041C">
        <w:rPr>
          <w:rFonts w:ascii="Times New Roman" w:hAnsi="Times New Roman" w:cs="Times New Roman"/>
          <w:b/>
          <w:sz w:val="28"/>
          <w:szCs w:val="28"/>
        </w:rPr>
        <w:t>Acknowledgement of the number of IDGC of South JSC securities held by the insider as of the reporting quarter end date and of operations with securities effected in the reporting quarter</w:t>
      </w:r>
    </w:p>
    <w:p w:rsidR="007825C8" w:rsidRDefault="007825C8" w:rsidP="007825C8">
      <w:pPr>
        <w:widowControl w:val="0"/>
        <w:autoSpaceDE w:val="0"/>
        <w:autoSpaceDN w:val="0"/>
        <w:adjustRightInd w:val="0"/>
        <w:spacing w:after="0" w:line="360" w:lineRule="auto"/>
        <w:ind w:left="142"/>
        <w:jc w:val="center"/>
        <w:rPr>
          <w:rFonts w:ascii="Times New Roman" w:hAnsi="Times New Roman" w:cs="Times New Roman"/>
          <w:b/>
          <w:sz w:val="28"/>
          <w:szCs w:val="28"/>
        </w:rPr>
      </w:pPr>
      <w:r>
        <w:rPr>
          <w:rFonts w:ascii="Times New Roman" w:hAnsi="Times New Roman" w:cs="Times New Roman"/>
          <w:b/>
          <w:sz w:val="28"/>
          <w:szCs w:val="28"/>
        </w:rPr>
        <w:t>Reporting date __________________</w:t>
      </w:r>
    </w:p>
    <w:tbl>
      <w:tblPr>
        <w:tblStyle w:val="a3"/>
        <w:tblW w:w="0" w:type="auto"/>
        <w:tblInd w:w="142" w:type="dxa"/>
        <w:tblLook w:val="04A0" w:firstRow="1" w:lastRow="0" w:firstColumn="1" w:lastColumn="0" w:noHBand="0" w:noVBand="1"/>
      </w:tblPr>
      <w:tblGrid>
        <w:gridCol w:w="1169"/>
        <w:gridCol w:w="1172"/>
        <w:gridCol w:w="1178"/>
        <w:gridCol w:w="1174"/>
        <w:gridCol w:w="1203"/>
        <w:gridCol w:w="1177"/>
        <w:gridCol w:w="1177"/>
        <w:gridCol w:w="1178"/>
      </w:tblGrid>
      <w:tr w:rsidR="007825C8" w:rsidRPr="00EA041C" w:rsidTr="000E6BD4">
        <w:tc>
          <w:tcPr>
            <w:tcW w:w="1169" w:type="dxa"/>
            <w:vMerge w:val="restart"/>
          </w:tcPr>
          <w:p w:rsidR="007825C8" w:rsidRPr="00EA041C" w:rsidRDefault="007825C8" w:rsidP="000E6BD4">
            <w:pPr>
              <w:widowControl w:val="0"/>
              <w:autoSpaceDE w:val="0"/>
              <w:autoSpaceDN w:val="0"/>
              <w:adjustRightInd w:val="0"/>
              <w:jc w:val="both"/>
              <w:rPr>
                <w:rFonts w:ascii="Times New Roman" w:hAnsi="Times New Roman" w:cs="Times New Roman"/>
                <w:bCs/>
              </w:rPr>
            </w:pPr>
            <w:r w:rsidRPr="00EA041C">
              <w:rPr>
                <w:rFonts w:ascii="Times New Roman" w:hAnsi="Times New Roman" w:cs="Times New Roman"/>
                <w:bCs/>
              </w:rPr>
              <w:t>Name of insider</w:t>
            </w:r>
          </w:p>
        </w:tc>
        <w:tc>
          <w:tcPr>
            <w:tcW w:w="1172" w:type="dxa"/>
            <w:vMerge w:val="restart"/>
          </w:tcPr>
          <w:p w:rsidR="007825C8" w:rsidRPr="00EA041C" w:rsidRDefault="007825C8" w:rsidP="000E6BD4">
            <w:pPr>
              <w:widowControl w:val="0"/>
              <w:autoSpaceDE w:val="0"/>
              <w:autoSpaceDN w:val="0"/>
              <w:adjustRightInd w:val="0"/>
              <w:jc w:val="both"/>
              <w:rPr>
                <w:rFonts w:ascii="Times New Roman" w:hAnsi="Times New Roman" w:cs="Times New Roman"/>
                <w:bCs/>
              </w:rPr>
            </w:pPr>
            <w:r w:rsidRPr="00EA041C">
              <w:rPr>
                <w:rFonts w:ascii="Times New Roman" w:hAnsi="Times New Roman" w:cs="Times New Roman"/>
                <w:bCs/>
              </w:rPr>
              <w:t>Position of insider</w:t>
            </w:r>
          </w:p>
        </w:tc>
        <w:tc>
          <w:tcPr>
            <w:tcW w:w="3555" w:type="dxa"/>
            <w:gridSpan w:val="3"/>
          </w:tcPr>
          <w:p w:rsidR="007825C8" w:rsidRPr="00EA041C" w:rsidRDefault="007825C8" w:rsidP="000E6BD4">
            <w:pPr>
              <w:widowControl w:val="0"/>
              <w:autoSpaceDE w:val="0"/>
              <w:autoSpaceDN w:val="0"/>
              <w:adjustRightInd w:val="0"/>
              <w:jc w:val="both"/>
              <w:rPr>
                <w:rFonts w:ascii="Times New Roman" w:hAnsi="Times New Roman" w:cs="Times New Roman"/>
                <w:bCs/>
              </w:rPr>
            </w:pPr>
            <w:r w:rsidRPr="00EA041C">
              <w:rPr>
                <w:rFonts w:ascii="Times New Roman" w:hAnsi="Times New Roman" w:cs="Times New Roman"/>
              </w:rPr>
              <w:t>Details of securities held by the insider as of the reporting date</w:t>
            </w:r>
          </w:p>
        </w:tc>
        <w:tc>
          <w:tcPr>
            <w:tcW w:w="3532" w:type="dxa"/>
            <w:gridSpan w:val="3"/>
          </w:tcPr>
          <w:p w:rsidR="007825C8" w:rsidRPr="00EA041C" w:rsidRDefault="007825C8" w:rsidP="000E6BD4">
            <w:pPr>
              <w:widowControl w:val="0"/>
              <w:autoSpaceDE w:val="0"/>
              <w:autoSpaceDN w:val="0"/>
              <w:adjustRightInd w:val="0"/>
              <w:jc w:val="both"/>
              <w:rPr>
                <w:rFonts w:ascii="Times New Roman" w:hAnsi="Times New Roman" w:cs="Times New Roman"/>
                <w:bCs/>
              </w:rPr>
            </w:pPr>
            <w:r w:rsidRPr="00EA041C">
              <w:rPr>
                <w:rFonts w:ascii="Times New Roman" w:hAnsi="Times New Roman" w:cs="Times New Roman"/>
              </w:rPr>
              <w:t>Details of operations with securities in the reporting quarter</w:t>
            </w:r>
          </w:p>
        </w:tc>
      </w:tr>
      <w:tr w:rsidR="007825C8" w:rsidRPr="00EA041C" w:rsidTr="000E6BD4">
        <w:tc>
          <w:tcPr>
            <w:tcW w:w="1169" w:type="dxa"/>
            <w:vMerge/>
          </w:tcPr>
          <w:p w:rsidR="007825C8" w:rsidRPr="00EA041C" w:rsidRDefault="007825C8" w:rsidP="000E6BD4">
            <w:pPr>
              <w:widowControl w:val="0"/>
              <w:autoSpaceDE w:val="0"/>
              <w:autoSpaceDN w:val="0"/>
              <w:adjustRightInd w:val="0"/>
              <w:jc w:val="both"/>
              <w:rPr>
                <w:rFonts w:ascii="Times New Roman" w:hAnsi="Times New Roman" w:cs="Times New Roman"/>
                <w:bCs/>
              </w:rPr>
            </w:pPr>
          </w:p>
        </w:tc>
        <w:tc>
          <w:tcPr>
            <w:tcW w:w="1172" w:type="dxa"/>
            <w:vMerge/>
          </w:tcPr>
          <w:p w:rsidR="007825C8" w:rsidRPr="00EA041C" w:rsidRDefault="007825C8" w:rsidP="000E6BD4">
            <w:pPr>
              <w:widowControl w:val="0"/>
              <w:autoSpaceDE w:val="0"/>
              <w:autoSpaceDN w:val="0"/>
              <w:adjustRightInd w:val="0"/>
              <w:jc w:val="both"/>
              <w:rPr>
                <w:rFonts w:ascii="Times New Roman" w:hAnsi="Times New Roman" w:cs="Times New Roman"/>
                <w:bCs/>
              </w:rPr>
            </w:pPr>
          </w:p>
        </w:tc>
        <w:tc>
          <w:tcPr>
            <w:tcW w:w="1178" w:type="dxa"/>
          </w:tcPr>
          <w:p w:rsidR="007825C8" w:rsidRPr="00EA041C" w:rsidRDefault="007825C8" w:rsidP="000E6BD4">
            <w:pPr>
              <w:rPr>
                <w:rFonts w:ascii="Times New Roman" w:hAnsi="Times New Roman" w:cs="Times New Roman"/>
              </w:rPr>
            </w:pPr>
            <w:r w:rsidRPr="00EA041C">
              <w:rPr>
                <w:rFonts w:ascii="Times New Roman" w:hAnsi="Times New Roman" w:cs="Times New Roman"/>
              </w:rPr>
              <w:t>Type of</w:t>
            </w:r>
          </w:p>
          <w:p w:rsidR="007825C8" w:rsidRPr="00EA041C" w:rsidRDefault="007825C8" w:rsidP="000E6BD4">
            <w:pPr>
              <w:widowControl w:val="0"/>
              <w:autoSpaceDE w:val="0"/>
              <w:autoSpaceDN w:val="0"/>
              <w:adjustRightInd w:val="0"/>
              <w:jc w:val="both"/>
              <w:rPr>
                <w:rFonts w:ascii="Times New Roman" w:hAnsi="Times New Roman" w:cs="Times New Roman"/>
                <w:bCs/>
              </w:rPr>
            </w:pPr>
            <w:r w:rsidRPr="00EA041C">
              <w:rPr>
                <w:rFonts w:ascii="Times New Roman" w:hAnsi="Times New Roman" w:cs="Times New Roman"/>
              </w:rPr>
              <w:t>securities</w:t>
            </w:r>
            <w:r w:rsidRPr="00EA041C">
              <w:rPr>
                <w:rStyle w:val="a6"/>
                <w:rFonts w:ascii="Times New Roman" w:hAnsi="Times New Roman" w:cs="Times New Roman"/>
              </w:rPr>
              <w:footnoteReference w:id="1"/>
            </w:r>
            <w:r w:rsidRPr="00EA041C">
              <w:rPr>
                <w:rFonts w:ascii="Times New Roman" w:hAnsi="Times New Roman" w:cs="Times New Roman"/>
              </w:rPr>
              <w:t>, name of the issuer</w:t>
            </w:r>
            <w:r w:rsidRPr="00EA041C">
              <w:rPr>
                <w:rStyle w:val="a6"/>
                <w:rFonts w:ascii="Times New Roman" w:hAnsi="Times New Roman" w:cs="Times New Roman"/>
              </w:rPr>
              <w:footnoteReference w:id="2"/>
            </w:r>
          </w:p>
        </w:tc>
        <w:tc>
          <w:tcPr>
            <w:tcW w:w="1174" w:type="dxa"/>
          </w:tcPr>
          <w:p w:rsidR="007825C8" w:rsidRPr="00EA041C" w:rsidRDefault="007825C8" w:rsidP="000E6BD4">
            <w:pPr>
              <w:widowControl w:val="0"/>
              <w:autoSpaceDE w:val="0"/>
              <w:autoSpaceDN w:val="0"/>
              <w:adjustRightInd w:val="0"/>
              <w:jc w:val="both"/>
              <w:rPr>
                <w:rFonts w:ascii="Times New Roman" w:hAnsi="Times New Roman" w:cs="Times New Roman"/>
                <w:bCs/>
              </w:rPr>
            </w:pPr>
            <w:proofErr w:type="spellStart"/>
            <w:r w:rsidRPr="00EA041C">
              <w:rPr>
                <w:rFonts w:ascii="Times New Roman" w:hAnsi="Times New Roman" w:cs="Times New Roman"/>
                <w:bCs/>
              </w:rPr>
              <w:t>Amout</w:t>
            </w:r>
            <w:proofErr w:type="spellEnd"/>
            <w:r w:rsidRPr="00EA041C">
              <w:rPr>
                <w:rFonts w:ascii="Times New Roman" w:hAnsi="Times New Roman" w:cs="Times New Roman"/>
                <w:bCs/>
              </w:rPr>
              <w:t xml:space="preserve"> of securities</w:t>
            </w:r>
          </w:p>
        </w:tc>
        <w:tc>
          <w:tcPr>
            <w:tcW w:w="1203" w:type="dxa"/>
          </w:tcPr>
          <w:p w:rsidR="007825C8" w:rsidRPr="00EA041C" w:rsidRDefault="007825C8" w:rsidP="000E6BD4">
            <w:pPr>
              <w:widowControl w:val="0"/>
              <w:autoSpaceDE w:val="0"/>
              <w:autoSpaceDN w:val="0"/>
              <w:adjustRightInd w:val="0"/>
              <w:jc w:val="both"/>
              <w:rPr>
                <w:rFonts w:ascii="Times New Roman" w:hAnsi="Times New Roman" w:cs="Times New Roman"/>
                <w:bCs/>
              </w:rPr>
            </w:pPr>
            <w:r w:rsidRPr="00EA041C">
              <w:rPr>
                <w:rFonts w:ascii="Times New Roman" w:hAnsi="Times New Roman" w:cs="Times New Roman"/>
                <w:bCs/>
              </w:rPr>
              <w:t>Type of ownership</w:t>
            </w:r>
            <w:r w:rsidRPr="00EA041C">
              <w:rPr>
                <w:rStyle w:val="a6"/>
                <w:rFonts w:ascii="Times New Roman" w:hAnsi="Times New Roman" w:cs="Times New Roman"/>
                <w:bCs/>
              </w:rPr>
              <w:footnoteReference w:id="3"/>
            </w:r>
          </w:p>
        </w:tc>
        <w:tc>
          <w:tcPr>
            <w:tcW w:w="1177" w:type="dxa"/>
          </w:tcPr>
          <w:p w:rsidR="007825C8" w:rsidRPr="00EA041C" w:rsidRDefault="007825C8" w:rsidP="000E6BD4">
            <w:pPr>
              <w:widowControl w:val="0"/>
              <w:autoSpaceDE w:val="0"/>
              <w:autoSpaceDN w:val="0"/>
              <w:adjustRightInd w:val="0"/>
              <w:jc w:val="both"/>
              <w:rPr>
                <w:rFonts w:ascii="Times New Roman" w:hAnsi="Times New Roman" w:cs="Times New Roman"/>
                <w:bCs/>
              </w:rPr>
            </w:pPr>
            <w:r w:rsidRPr="00EA041C">
              <w:rPr>
                <w:rFonts w:ascii="Times New Roman" w:hAnsi="Times New Roman" w:cs="Times New Roman"/>
              </w:rPr>
              <w:t xml:space="preserve">Operation (purchase, sale, gift </w:t>
            </w:r>
            <w:proofErr w:type="spellStart"/>
            <w:r w:rsidRPr="00EA041C">
              <w:rPr>
                <w:rFonts w:ascii="Times New Roman" w:hAnsi="Times New Roman" w:cs="Times New Roman"/>
              </w:rPr>
              <w:t>etc</w:t>
            </w:r>
            <w:proofErr w:type="spellEnd"/>
            <w:r w:rsidRPr="00EA041C">
              <w:rPr>
                <w:rFonts w:ascii="Times New Roman" w:hAnsi="Times New Roman" w:cs="Times New Roman"/>
              </w:rPr>
              <w:t>)</w:t>
            </w:r>
          </w:p>
        </w:tc>
        <w:tc>
          <w:tcPr>
            <w:tcW w:w="1177" w:type="dxa"/>
          </w:tcPr>
          <w:p w:rsidR="007825C8" w:rsidRPr="00EA041C" w:rsidRDefault="007825C8" w:rsidP="000E6BD4">
            <w:pPr>
              <w:widowControl w:val="0"/>
              <w:autoSpaceDE w:val="0"/>
              <w:autoSpaceDN w:val="0"/>
              <w:adjustRightInd w:val="0"/>
              <w:jc w:val="both"/>
              <w:rPr>
                <w:rFonts w:ascii="Times New Roman" w:hAnsi="Times New Roman" w:cs="Times New Roman"/>
                <w:bCs/>
              </w:rPr>
            </w:pPr>
            <w:r w:rsidRPr="00EA041C">
              <w:rPr>
                <w:rFonts w:ascii="Times New Roman" w:hAnsi="Times New Roman" w:cs="Times New Roman"/>
              </w:rPr>
              <w:t>Quantity of securities, per type and issuer</w:t>
            </w:r>
          </w:p>
          <w:p w:rsidR="007825C8" w:rsidRPr="00EA041C" w:rsidRDefault="007825C8" w:rsidP="000E6BD4">
            <w:pPr>
              <w:rPr>
                <w:rFonts w:ascii="Times New Roman" w:hAnsi="Times New Roman" w:cs="Times New Roman"/>
              </w:rPr>
            </w:pPr>
          </w:p>
        </w:tc>
        <w:tc>
          <w:tcPr>
            <w:tcW w:w="1178" w:type="dxa"/>
          </w:tcPr>
          <w:p w:rsidR="007825C8" w:rsidRPr="00EA041C" w:rsidRDefault="007825C8" w:rsidP="000E6BD4">
            <w:pPr>
              <w:widowControl w:val="0"/>
              <w:autoSpaceDE w:val="0"/>
              <w:autoSpaceDN w:val="0"/>
              <w:adjustRightInd w:val="0"/>
              <w:jc w:val="both"/>
              <w:rPr>
                <w:rFonts w:ascii="Times New Roman" w:hAnsi="Times New Roman" w:cs="Times New Roman"/>
                <w:bCs/>
              </w:rPr>
            </w:pPr>
            <w:proofErr w:type="spellStart"/>
            <w:r w:rsidRPr="00EA041C">
              <w:rPr>
                <w:rFonts w:ascii="Times New Roman" w:hAnsi="Times New Roman" w:cs="Times New Roman"/>
              </w:rPr>
              <w:t>Transactio</w:t>
            </w:r>
            <w:proofErr w:type="spellEnd"/>
            <w:r w:rsidRPr="00EA041C">
              <w:rPr>
                <w:rFonts w:ascii="Times New Roman" w:hAnsi="Times New Roman" w:cs="Times New Roman"/>
              </w:rPr>
              <w:t xml:space="preserve"> n date</w:t>
            </w:r>
          </w:p>
          <w:p w:rsidR="007825C8" w:rsidRPr="00EA041C" w:rsidRDefault="007825C8" w:rsidP="000E6BD4">
            <w:pPr>
              <w:rPr>
                <w:rFonts w:ascii="Times New Roman" w:hAnsi="Times New Roman" w:cs="Times New Roman"/>
              </w:rPr>
            </w:pPr>
          </w:p>
        </w:tc>
      </w:tr>
      <w:tr w:rsidR="007825C8" w:rsidRPr="00EA041C" w:rsidTr="000E6BD4">
        <w:tc>
          <w:tcPr>
            <w:tcW w:w="1169" w:type="dxa"/>
          </w:tcPr>
          <w:p w:rsidR="007825C8" w:rsidRDefault="007825C8" w:rsidP="000E6BD4">
            <w:pPr>
              <w:widowControl w:val="0"/>
              <w:autoSpaceDE w:val="0"/>
              <w:autoSpaceDN w:val="0"/>
              <w:adjustRightInd w:val="0"/>
              <w:jc w:val="both"/>
              <w:rPr>
                <w:rFonts w:ascii="Times New Roman" w:hAnsi="Times New Roman" w:cs="Times New Roman"/>
                <w:bCs/>
              </w:rPr>
            </w:pPr>
          </w:p>
          <w:p w:rsidR="007825C8" w:rsidRPr="00EA041C" w:rsidRDefault="007825C8" w:rsidP="000E6BD4">
            <w:pPr>
              <w:widowControl w:val="0"/>
              <w:autoSpaceDE w:val="0"/>
              <w:autoSpaceDN w:val="0"/>
              <w:adjustRightInd w:val="0"/>
              <w:jc w:val="both"/>
              <w:rPr>
                <w:rFonts w:ascii="Times New Roman" w:hAnsi="Times New Roman" w:cs="Times New Roman"/>
                <w:bCs/>
              </w:rPr>
            </w:pPr>
          </w:p>
        </w:tc>
        <w:tc>
          <w:tcPr>
            <w:tcW w:w="1172" w:type="dxa"/>
          </w:tcPr>
          <w:p w:rsidR="007825C8" w:rsidRPr="00EA041C" w:rsidRDefault="007825C8" w:rsidP="000E6BD4">
            <w:pPr>
              <w:widowControl w:val="0"/>
              <w:autoSpaceDE w:val="0"/>
              <w:autoSpaceDN w:val="0"/>
              <w:adjustRightInd w:val="0"/>
              <w:jc w:val="both"/>
              <w:rPr>
                <w:rFonts w:ascii="Times New Roman" w:hAnsi="Times New Roman" w:cs="Times New Roman"/>
                <w:bCs/>
              </w:rPr>
            </w:pPr>
          </w:p>
        </w:tc>
        <w:tc>
          <w:tcPr>
            <w:tcW w:w="1178" w:type="dxa"/>
          </w:tcPr>
          <w:p w:rsidR="007825C8" w:rsidRPr="00EA041C" w:rsidRDefault="007825C8" w:rsidP="000E6BD4">
            <w:pPr>
              <w:widowControl w:val="0"/>
              <w:autoSpaceDE w:val="0"/>
              <w:autoSpaceDN w:val="0"/>
              <w:adjustRightInd w:val="0"/>
              <w:jc w:val="both"/>
              <w:rPr>
                <w:rFonts w:ascii="Times New Roman" w:hAnsi="Times New Roman" w:cs="Times New Roman"/>
                <w:bCs/>
              </w:rPr>
            </w:pPr>
          </w:p>
        </w:tc>
        <w:tc>
          <w:tcPr>
            <w:tcW w:w="1174" w:type="dxa"/>
          </w:tcPr>
          <w:p w:rsidR="007825C8" w:rsidRPr="00EA041C" w:rsidRDefault="007825C8" w:rsidP="000E6BD4">
            <w:pPr>
              <w:widowControl w:val="0"/>
              <w:autoSpaceDE w:val="0"/>
              <w:autoSpaceDN w:val="0"/>
              <w:adjustRightInd w:val="0"/>
              <w:jc w:val="both"/>
              <w:rPr>
                <w:rFonts w:ascii="Times New Roman" w:hAnsi="Times New Roman" w:cs="Times New Roman"/>
                <w:bCs/>
              </w:rPr>
            </w:pPr>
          </w:p>
        </w:tc>
        <w:tc>
          <w:tcPr>
            <w:tcW w:w="1203" w:type="dxa"/>
          </w:tcPr>
          <w:p w:rsidR="007825C8" w:rsidRPr="00EA041C" w:rsidRDefault="007825C8" w:rsidP="000E6BD4">
            <w:pPr>
              <w:widowControl w:val="0"/>
              <w:autoSpaceDE w:val="0"/>
              <w:autoSpaceDN w:val="0"/>
              <w:adjustRightInd w:val="0"/>
              <w:jc w:val="both"/>
              <w:rPr>
                <w:rFonts w:ascii="Times New Roman" w:hAnsi="Times New Roman" w:cs="Times New Roman"/>
                <w:bCs/>
              </w:rPr>
            </w:pPr>
          </w:p>
        </w:tc>
        <w:tc>
          <w:tcPr>
            <w:tcW w:w="1177" w:type="dxa"/>
          </w:tcPr>
          <w:p w:rsidR="007825C8" w:rsidRPr="00EA041C" w:rsidRDefault="007825C8" w:rsidP="000E6BD4">
            <w:pPr>
              <w:widowControl w:val="0"/>
              <w:autoSpaceDE w:val="0"/>
              <w:autoSpaceDN w:val="0"/>
              <w:adjustRightInd w:val="0"/>
              <w:jc w:val="both"/>
              <w:rPr>
                <w:rFonts w:ascii="Times New Roman" w:hAnsi="Times New Roman" w:cs="Times New Roman"/>
                <w:bCs/>
              </w:rPr>
            </w:pPr>
          </w:p>
        </w:tc>
        <w:tc>
          <w:tcPr>
            <w:tcW w:w="1177" w:type="dxa"/>
          </w:tcPr>
          <w:p w:rsidR="007825C8" w:rsidRPr="00EA041C" w:rsidRDefault="007825C8" w:rsidP="000E6BD4">
            <w:pPr>
              <w:widowControl w:val="0"/>
              <w:autoSpaceDE w:val="0"/>
              <w:autoSpaceDN w:val="0"/>
              <w:adjustRightInd w:val="0"/>
              <w:jc w:val="both"/>
              <w:rPr>
                <w:rFonts w:ascii="Times New Roman" w:hAnsi="Times New Roman" w:cs="Times New Roman"/>
                <w:bCs/>
              </w:rPr>
            </w:pPr>
          </w:p>
        </w:tc>
        <w:tc>
          <w:tcPr>
            <w:tcW w:w="1178" w:type="dxa"/>
          </w:tcPr>
          <w:p w:rsidR="007825C8" w:rsidRPr="00EA041C" w:rsidRDefault="007825C8" w:rsidP="000E6BD4">
            <w:pPr>
              <w:widowControl w:val="0"/>
              <w:autoSpaceDE w:val="0"/>
              <w:autoSpaceDN w:val="0"/>
              <w:adjustRightInd w:val="0"/>
              <w:jc w:val="both"/>
              <w:rPr>
                <w:rFonts w:ascii="Times New Roman" w:hAnsi="Times New Roman" w:cs="Times New Roman"/>
                <w:bCs/>
              </w:rPr>
            </w:pPr>
          </w:p>
        </w:tc>
      </w:tr>
    </w:tbl>
    <w:p w:rsidR="007825C8" w:rsidRDefault="007825C8" w:rsidP="007825C8">
      <w:pPr>
        <w:widowControl w:val="0"/>
        <w:overflowPunct w:val="0"/>
        <w:autoSpaceDE w:val="0"/>
        <w:autoSpaceDN w:val="0"/>
        <w:adjustRightInd w:val="0"/>
        <w:spacing w:after="0" w:line="240" w:lineRule="auto"/>
        <w:ind w:left="6" w:right="40"/>
        <w:jc w:val="both"/>
        <w:rPr>
          <w:rFonts w:ascii="Times New Roman" w:hAnsi="Times New Roman" w:cs="Times New Roman"/>
          <w:sz w:val="24"/>
          <w:szCs w:val="28"/>
        </w:rPr>
      </w:pPr>
    </w:p>
    <w:p w:rsidR="007825C8" w:rsidRPr="00EA041C" w:rsidRDefault="007825C8" w:rsidP="007825C8">
      <w:pPr>
        <w:widowControl w:val="0"/>
        <w:overflowPunct w:val="0"/>
        <w:autoSpaceDE w:val="0"/>
        <w:autoSpaceDN w:val="0"/>
        <w:adjustRightInd w:val="0"/>
        <w:spacing w:after="0" w:line="240" w:lineRule="auto"/>
        <w:ind w:left="6" w:right="40"/>
        <w:jc w:val="both"/>
        <w:rPr>
          <w:rFonts w:ascii="Times New Roman" w:hAnsi="Times New Roman" w:cs="Times New Roman"/>
          <w:sz w:val="24"/>
          <w:szCs w:val="28"/>
        </w:rPr>
      </w:pPr>
      <w:r w:rsidRPr="00EA041C">
        <w:rPr>
          <w:rFonts w:ascii="Times New Roman" w:hAnsi="Times New Roman" w:cs="Times New Roman"/>
          <w:sz w:val="24"/>
          <w:szCs w:val="28"/>
        </w:rPr>
        <w:t>___________</w:t>
      </w:r>
      <w:r w:rsidRPr="00EA041C">
        <w:rPr>
          <w:rFonts w:ascii="Times New Roman" w:hAnsi="Times New Roman" w:cs="Times New Roman"/>
          <w:sz w:val="24"/>
          <w:szCs w:val="28"/>
        </w:rPr>
        <w:tab/>
      </w:r>
      <w:r w:rsidRPr="00EA041C">
        <w:rPr>
          <w:rFonts w:ascii="Times New Roman" w:hAnsi="Times New Roman" w:cs="Times New Roman"/>
          <w:sz w:val="24"/>
          <w:szCs w:val="28"/>
        </w:rPr>
        <w:tab/>
      </w:r>
      <w:r>
        <w:rPr>
          <w:rFonts w:ascii="Times New Roman" w:hAnsi="Times New Roman" w:cs="Times New Roman"/>
          <w:sz w:val="24"/>
          <w:szCs w:val="28"/>
        </w:rPr>
        <w:t xml:space="preserve">    </w:t>
      </w:r>
      <w:r w:rsidRPr="00EA041C">
        <w:rPr>
          <w:rFonts w:ascii="Times New Roman" w:hAnsi="Times New Roman" w:cs="Times New Roman"/>
          <w:sz w:val="24"/>
          <w:szCs w:val="28"/>
        </w:rPr>
        <w:t>________________</w:t>
      </w:r>
      <w:r w:rsidRPr="00EA041C">
        <w:rPr>
          <w:rFonts w:ascii="Times New Roman" w:hAnsi="Times New Roman" w:cs="Times New Roman"/>
          <w:sz w:val="24"/>
          <w:szCs w:val="28"/>
        </w:rPr>
        <w:tab/>
      </w:r>
      <w:r w:rsidRPr="00EA041C">
        <w:rPr>
          <w:rFonts w:ascii="Times New Roman" w:hAnsi="Times New Roman" w:cs="Times New Roman"/>
          <w:sz w:val="24"/>
          <w:szCs w:val="28"/>
        </w:rPr>
        <w:tab/>
      </w:r>
      <w:r>
        <w:rPr>
          <w:rFonts w:ascii="Times New Roman" w:hAnsi="Times New Roman" w:cs="Times New Roman"/>
          <w:sz w:val="24"/>
          <w:szCs w:val="28"/>
        </w:rPr>
        <w:t xml:space="preserve">        </w:t>
      </w:r>
      <w:r w:rsidRPr="00EA041C">
        <w:rPr>
          <w:rFonts w:ascii="Times New Roman" w:hAnsi="Times New Roman" w:cs="Times New Roman"/>
          <w:sz w:val="24"/>
          <w:szCs w:val="28"/>
        </w:rPr>
        <w:t>________________</w:t>
      </w:r>
    </w:p>
    <w:p w:rsidR="007825C8" w:rsidRPr="00EA041C" w:rsidRDefault="007825C8" w:rsidP="007825C8">
      <w:pPr>
        <w:widowControl w:val="0"/>
        <w:overflowPunct w:val="0"/>
        <w:autoSpaceDE w:val="0"/>
        <w:autoSpaceDN w:val="0"/>
        <w:adjustRightInd w:val="0"/>
        <w:spacing w:after="0" w:line="240" w:lineRule="auto"/>
        <w:ind w:left="6" w:right="40" w:firstLine="702"/>
        <w:jc w:val="both"/>
        <w:rPr>
          <w:rFonts w:ascii="Times New Roman" w:hAnsi="Times New Roman" w:cs="Times New Roman"/>
          <w:sz w:val="24"/>
          <w:szCs w:val="28"/>
        </w:rPr>
      </w:pPr>
      <w:r w:rsidRPr="00EA041C">
        <w:rPr>
          <w:rFonts w:ascii="Times New Roman" w:hAnsi="Times New Roman" w:cs="Times New Roman"/>
          <w:sz w:val="24"/>
          <w:szCs w:val="28"/>
        </w:rPr>
        <w:t>(</w:t>
      </w:r>
      <w:proofErr w:type="gramStart"/>
      <w:r w:rsidRPr="00EA041C">
        <w:rPr>
          <w:rFonts w:ascii="Times New Roman" w:hAnsi="Times New Roman" w:cs="Times New Roman"/>
          <w:sz w:val="24"/>
          <w:szCs w:val="28"/>
        </w:rPr>
        <w:t>date</w:t>
      </w:r>
      <w:proofErr w:type="gramEnd"/>
      <w:r w:rsidRPr="00EA041C">
        <w:rPr>
          <w:rFonts w:ascii="Times New Roman" w:hAnsi="Times New Roman" w:cs="Times New Roman"/>
          <w:sz w:val="24"/>
          <w:szCs w:val="28"/>
        </w:rPr>
        <w:t xml:space="preserve">) </w:t>
      </w:r>
      <w:r w:rsidRPr="00EA041C">
        <w:rPr>
          <w:rFonts w:ascii="Times New Roman" w:hAnsi="Times New Roman" w:cs="Times New Roman"/>
          <w:sz w:val="24"/>
          <w:szCs w:val="28"/>
        </w:rPr>
        <w:tab/>
      </w:r>
      <w:r w:rsidRPr="00EA041C">
        <w:rPr>
          <w:rFonts w:ascii="Times New Roman" w:hAnsi="Times New Roman" w:cs="Times New Roman"/>
          <w:sz w:val="24"/>
          <w:szCs w:val="28"/>
        </w:rPr>
        <w:tab/>
      </w:r>
      <w:r w:rsidRPr="00EA041C">
        <w:rPr>
          <w:rFonts w:ascii="Times New Roman" w:hAnsi="Times New Roman" w:cs="Times New Roman"/>
          <w:sz w:val="24"/>
          <w:szCs w:val="28"/>
        </w:rPr>
        <w:tab/>
        <w:t>(</w:t>
      </w:r>
      <w:proofErr w:type="gramStart"/>
      <w:r w:rsidRPr="00EA041C">
        <w:rPr>
          <w:rFonts w:ascii="Times New Roman" w:hAnsi="Times New Roman" w:cs="Times New Roman"/>
          <w:sz w:val="24"/>
          <w:szCs w:val="28"/>
        </w:rPr>
        <w:t>signature</w:t>
      </w:r>
      <w:proofErr w:type="gramEnd"/>
      <w:r w:rsidRPr="00EA041C">
        <w:rPr>
          <w:rFonts w:ascii="Times New Roman" w:hAnsi="Times New Roman" w:cs="Times New Roman"/>
          <w:sz w:val="24"/>
          <w:szCs w:val="28"/>
        </w:rPr>
        <w:t>)</w:t>
      </w:r>
      <w:r w:rsidRPr="00EA041C">
        <w:rPr>
          <w:rFonts w:ascii="Times New Roman" w:hAnsi="Times New Roman" w:cs="Times New Roman"/>
          <w:sz w:val="24"/>
          <w:szCs w:val="28"/>
        </w:rPr>
        <w:tab/>
      </w:r>
      <w:r w:rsidRPr="00EA041C">
        <w:rPr>
          <w:rFonts w:ascii="Times New Roman" w:hAnsi="Times New Roman" w:cs="Times New Roman"/>
          <w:sz w:val="24"/>
          <w:szCs w:val="28"/>
        </w:rPr>
        <w:tab/>
      </w:r>
      <w:r w:rsidRPr="00EA041C">
        <w:rPr>
          <w:rFonts w:ascii="Times New Roman" w:hAnsi="Times New Roman" w:cs="Times New Roman"/>
          <w:sz w:val="24"/>
          <w:szCs w:val="28"/>
        </w:rPr>
        <w:tab/>
        <w:t>(</w:t>
      </w:r>
      <w:proofErr w:type="gramStart"/>
      <w:r w:rsidRPr="00EA041C">
        <w:rPr>
          <w:rFonts w:ascii="Times New Roman" w:hAnsi="Times New Roman" w:cs="Times New Roman"/>
          <w:sz w:val="24"/>
          <w:szCs w:val="28"/>
        </w:rPr>
        <w:t>print</w:t>
      </w:r>
      <w:proofErr w:type="gramEnd"/>
      <w:r w:rsidRPr="00EA041C">
        <w:rPr>
          <w:rFonts w:ascii="Times New Roman" w:hAnsi="Times New Roman" w:cs="Times New Roman"/>
          <w:sz w:val="24"/>
          <w:szCs w:val="28"/>
        </w:rPr>
        <w:t xml:space="preserve"> full name)</w:t>
      </w:r>
    </w:p>
    <w:bookmarkEnd w:id="0"/>
    <w:p w:rsidR="0016511B" w:rsidRDefault="0016511B"/>
    <w:sectPr w:rsidR="001651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41" w:rsidRDefault="00757841" w:rsidP="007825C8">
      <w:pPr>
        <w:spacing w:after="0" w:line="240" w:lineRule="auto"/>
      </w:pPr>
      <w:r>
        <w:separator/>
      </w:r>
    </w:p>
  </w:endnote>
  <w:endnote w:type="continuationSeparator" w:id="0">
    <w:p w:rsidR="00757841" w:rsidRDefault="00757841" w:rsidP="0078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41" w:rsidRDefault="00757841" w:rsidP="007825C8">
      <w:pPr>
        <w:spacing w:after="0" w:line="240" w:lineRule="auto"/>
      </w:pPr>
      <w:r>
        <w:separator/>
      </w:r>
    </w:p>
  </w:footnote>
  <w:footnote w:type="continuationSeparator" w:id="0">
    <w:p w:rsidR="00757841" w:rsidRDefault="00757841" w:rsidP="007825C8">
      <w:pPr>
        <w:spacing w:after="0" w:line="240" w:lineRule="auto"/>
      </w:pPr>
      <w:r>
        <w:continuationSeparator/>
      </w:r>
    </w:p>
  </w:footnote>
  <w:footnote w:id="1">
    <w:p w:rsidR="007825C8" w:rsidRPr="006E6FA9" w:rsidRDefault="007825C8" w:rsidP="007825C8">
      <w:pPr>
        <w:spacing w:after="0" w:line="240" w:lineRule="auto"/>
        <w:rPr>
          <w:rFonts w:ascii="Times New Roman" w:hAnsi="Times New Roman" w:cs="Times New Roman"/>
        </w:rPr>
      </w:pPr>
      <w:r w:rsidRPr="006E6FA9">
        <w:rPr>
          <w:rStyle w:val="a6"/>
          <w:rFonts w:ascii="Times New Roman" w:hAnsi="Times New Roman" w:cs="Times New Roman"/>
        </w:rPr>
        <w:footnoteRef/>
      </w:r>
      <w:r w:rsidRPr="006E6FA9">
        <w:rPr>
          <w:rFonts w:ascii="Times New Roman" w:hAnsi="Times New Roman" w:cs="Times New Roman"/>
        </w:rPr>
        <w:t xml:space="preserve"> </w:t>
      </w:r>
      <w:r w:rsidRPr="006E6FA9">
        <w:rPr>
          <w:rFonts w:ascii="Times New Roman" w:hAnsi="Times New Roman" w:cs="Times New Roman"/>
          <w:sz w:val="20"/>
          <w:szCs w:val="24"/>
        </w:rPr>
        <w:t>Type of securities – ordinary shares, preference shares</w:t>
      </w:r>
    </w:p>
  </w:footnote>
  <w:footnote w:id="2">
    <w:p w:rsidR="007825C8" w:rsidRDefault="007825C8" w:rsidP="007825C8">
      <w:pPr>
        <w:pStyle w:val="a4"/>
      </w:pPr>
      <w:r w:rsidRPr="006E6FA9">
        <w:rPr>
          <w:rStyle w:val="a6"/>
          <w:rFonts w:ascii="Times New Roman" w:hAnsi="Times New Roman" w:cs="Times New Roman"/>
        </w:rPr>
        <w:footnoteRef/>
      </w:r>
      <w:r w:rsidRPr="006E6FA9">
        <w:rPr>
          <w:rFonts w:ascii="Times New Roman" w:hAnsi="Times New Roman" w:cs="Times New Roman"/>
        </w:rPr>
        <w:t xml:space="preserve"> Full or abbreviated name of the issuer – legal entity that is responsible to owners of securities</w:t>
      </w:r>
      <w:r>
        <w:t xml:space="preserve"> </w:t>
      </w:r>
    </w:p>
  </w:footnote>
  <w:footnote w:id="3">
    <w:p w:rsidR="007825C8" w:rsidRPr="00EA041C" w:rsidRDefault="007825C8" w:rsidP="007825C8">
      <w:pPr>
        <w:pStyle w:val="a4"/>
        <w:rPr>
          <w:rFonts w:ascii="Times New Roman" w:hAnsi="Times New Roman" w:cs="Times New Roman"/>
        </w:rPr>
      </w:pPr>
      <w:r w:rsidRPr="00EA041C">
        <w:rPr>
          <w:rStyle w:val="a6"/>
          <w:rFonts w:ascii="Times New Roman" w:hAnsi="Times New Roman" w:cs="Times New Roman"/>
        </w:rPr>
        <w:footnoteRef/>
      </w:r>
      <w:r w:rsidRPr="00EA041C">
        <w:rPr>
          <w:rFonts w:ascii="Times New Roman" w:hAnsi="Times New Roman" w:cs="Times New Roman"/>
        </w:rPr>
        <w:t xml:space="preserve"> In particular, name of the securities nominal holder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C8"/>
    <w:rsid w:val="0016511B"/>
    <w:rsid w:val="00757841"/>
    <w:rsid w:val="0078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C8"/>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7825C8"/>
    <w:pPr>
      <w:spacing w:after="0" w:line="240" w:lineRule="auto"/>
    </w:pPr>
    <w:rPr>
      <w:sz w:val="20"/>
      <w:szCs w:val="20"/>
    </w:rPr>
  </w:style>
  <w:style w:type="character" w:customStyle="1" w:styleId="a5">
    <w:name w:val="Текст сноски Знак"/>
    <w:basedOn w:val="a0"/>
    <w:link w:val="a4"/>
    <w:uiPriority w:val="99"/>
    <w:semiHidden/>
    <w:rsid w:val="007825C8"/>
    <w:rPr>
      <w:rFonts w:eastAsiaTheme="minorEastAsia"/>
      <w:sz w:val="20"/>
      <w:szCs w:val="20"/>
      <w:lang w:val="en-US"/>
    </w:rPr>
  </w:style>
  <w:style w:type="character" w:styleId="a6">
    <w:name w:val="footnote reference"/>
    <w:basedOn w:val="a0"/>
    <w:uiPriority w:val="99"/>
    <w:semiHidden/>
    <w:unhideWhenUsed/>
    <w:rsid w:val="007825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C8"/>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7825C8"/>
    <w:pPr>
      <w:spacing w:after="0" w:line="240" w:lineRule="auto"/>
    </w:pPr>
    <w:rPr>
      <w:sz w:val="20"/>
      <w:szCs w:val="20"/>
    </w:rPr>
  </w:style>
  <w:style w:type="character" w:customStyle="1" w:styleId="a5">
    <w:name w:val="Текст сноски Знак"/>
    <w:basedOn w:val="a0"/>
    <w:link w:val="a4"/>
    <w:uiPriority w:val="99"/>
    <w:semiHidden/>
    <w:rsid w:val="007825C8"/>
    <w:rPr>
      <w:rFonts w:eastAsiaTheme="minorEastAsia"/>
      <w:sz w:val="20"/>
      <w:szCs w:val="20"/>
      <w:lang w:val="en-US"/>
    </w:rPr>
  </w:style>
  <w:style w:type="character" w:styleId="a6">
    <w:name w:val="footnote reference"/>
    <w:basedOn w:val="a0"/>
    <w:uiPriority w:val="99"/>
    <w:semiHidden/>
    <w:unhideWhenUsed/>
    <w:rsid w:val="00782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Company>Krokoz™</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2015-04-27T12:18:00Z</dcterms:created>
  <dcterms:modified xsi:type="dcterms:W3CDTF">2015-04-27T12:19:00Z</dcterms:modified>
</cp:coreProperties>
</file>